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EFF" w:rsidRPr="00360EFF" w:rsidRDefault="00360EFF" w:rsidP="00360EFF">
      <w:pPr>
        <w:pStyle w:val="IntenseQuote"/>
        <w:spacing w:before="0" w:after="0"/>
        <w:rPr>
          <w:sz w:val="24"/>
        </w:rPr>
      </w:pPr>
      <w:bookmarkStart w:id="0" w:name="_GoBack"/>
      <w:bookmarkEnd w:id="0"/>
      <w:r w:rsidRPr="00360EFF">
        <w:rPr>
          <w:sz w:val="24"/>
        </w:rPr>
        <w:t xml:space="preserve">Attachment </w:t>
      </w:r>
      <w:r w:rsidR="00570B6E">
        <w:rPr>
          <w:sz w:val="24"/>
        </w:rPr>
        <w:t>E</w:t>
      </w:r>
      <w:r w:rsidRPr="00360EFF">
        <w:rPr>
          <w:sz w:val="24"/>
        </w:rPr>
        <w:t>:</w:t>
      </w:r>
    </w:p>
    <w:p w:rsidR="003147C1" w:rsidRPr="00360EFF" w:rsidRDefault="005062AD" w:rsidP="00360EFF">
      <w:pPr>
        <w:pStyle w:val="IntenseQuote"/>
        <w:spacing w:before="0" w:after="0"/>
        <w:rPr>
          <w:sz w:val="24"/>
        </w:rPr>
      </w:pPr>
      <w:r>
        <w:rPr>
          <w:sz w:val="24"/>
        </w:rPr>
        <w:t>Statewide Rapid Response</w:t>
      </w:r>
      <w:r w:rsidR="00D82453">
        <w:rPr>
          <w:sz w:val="24"/>
        </w:rPr>
        <w:t xml:space="preserve"> </w:t>
      </w:r>
      <w:r w:rsidR="00360EFF" w:rsidRPr="00360EFF">
        <w:rPr>
          <w:sz w:val="24"/>
        </w:rPr>
        <w:t>Employer</w:t>
      </w:r>
      <w:r>
        <w:rPr>
          <w:sz w:val="24"/>
        </w:rPr>
        <w:t xml:space="preserve"> Layoff</w:t>
      </w:r>
      <w:r w:rsidR="00360EFF" w:rsidRPr="00360EFF">
        <w:rPr>
          <w:sz w:val="24"/>
        </w:rPr>
        <w:t xml:space="preserve"> Data Form</w:t>
      </w:r>
    </w:p>
    <w:p w:rsidR="00360EFF" w:rsidRPr="00360EFF" w:rsidRDefault="00360EFF" w:rsidP="00360EFF"/>
    <w:tbl>
      <w:tblPr>
        <w:tblStyle w:val="PlainTable1"/>
        <w:tblW w:w="0" w:type="auto"/>
        <w:tblLook w:val="04A0" w:firstRow="1" w:lastRow="0" w:firstColumn="1" w:lastColumn="0" w:noHBand="0" w:noVBand="1"/>
      </w:tblPr>
      <w:tblGrid>
        <w:gridCol w:w="3025"/>
        <w:gridCol w:w="2318"/>
        <w:gridCol w:w="1078"/>
        <w:gridCol w:w="1332"/>
        <w:gridCol w:w="1198"/>
        <w:gridCol w:w="870"/>
        <w:gridCol w:w="1476"/>
        <w:gridCol w:w="1484"/>
        <w:gridCol w:w="1609"/>
      </w:tblGrid>
      <w:tr w:rsidR="00360EFF" w:rsidTr="00360E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rsidR="00360EFF" w:rsidRDefault="00360EFF" w:rsidP="00FE63CC">
            <w:pPr>
              <w:jc w:val="center"/>
            </w:pPr>
            <w:r>
              <w:t>Employer</w:t>
            </w:r>
          </w:p>
        </w:tc>
        <w:tc>
          <w:tcPr>
            <w:tcW w:w="2318" w:type="dxa"/>
          </w:tcPr>
          <w:p w:rsidR="00360EFF" w:rsidRDefault="00360EFF" w:rsidP="00FE63CC">
            <w:pPr>
              <w:jc w:val="center"/>
              <w:cnfStyle w:val="100000000000" w:firstRow="1" w:lastRow="0" w:firstColumn="0" w:lastColumn="0" w:oddVBand="0" w:evenVBand="0" w:oddHBand="0" w:evenHBand="0" w:firstRowFirstColumn="0" w:firstRowLastColumn="0" w:lastRowFirstColumn="0" w:lastRowLastColumn="0"/>
            </w:pPr>
            <w:r>
              <w:t>Address</w:t>
            </w:r>
          </w:p>
        </w:tc>
        <w:tc>
          <w:tcPr>
            <w:tcW w:w="1078" w:type="dxa"/>
          </w:tcPr>
          <w:p w:rsidR="00360EFF" w:rsidRDefault="00360EFF" w:rsidP="00FE63CC">
            <w:pPr>
              <w:jc w:val="center"/>
              <w:cnfStyle w:val="100000000000" w:firstRow="1" w:lastRow="0" w:firstColumn="0" w:lastColumn="0" w:oddVBand="0" w:evenVBand="0" w:oddHBand="0" w:evenHBand="0" w:firstRowFirstColumn="0" w:firstRowLastColumn="0" w:lastRowFirstColumn="0" w:lastRowLastColumn="0"/>
            </w:pPr>
            <w:r>
              <w:t>RR Event Number</w:t>
            </w:r>
          </w:p>
        </w:tc>
        <w:tc>
          <w:tcPr>
            <w:tcW w:w="1332" w:type="dxa"/>
          </w:tcPr>
          <w:p w:rsidR="00360EFF" w:rsidRDefault="00360EFF" w:rsidP="00FE63CC">
            <w:pPr>
              <w:jc w:val="center"/>
              <w:cnfStyle w:val="100000000000" w:firstRow="1" w:lastRow="0" w:firstColumn="0" w:lastColumn="0" w:oddVBand="0" w:evenVBand="0" w:oddHBand="0" w:evenHBand="0" w:firstRowFirstColumn="0" w:firstRowLastColumn="0" w:lastRowFirstColumn="0" w:lastRowLastColumn="0"/>
            </w:pPr>
            <w:r>
              <w:t>Impact Dates</w:t>
            </w:r>
          </w:p>
        </w:tc>
        <w:tc>
          <w:tcPr>
            <w:tcW w:w="1198" w:type="dxa"/>
          </w:tcPr>
          <w:p w:rsidR="00360EFF" w:rsidRDefault="00360EFF" w:rsidP="00FE63CC">
            <w:pPr>
              <w:jc w:val="center"/>
              <w:cnfStyle w:val="100000000000" w:firstRow="1" w:lastRow="0" w:firstColumn="0" w:lastColumn="0" w:oddVBand="0" w:evenVBand="0" w:oddHBand="0" w:evenHBand="0" w:firstRowFirstColumn="0" w:firstRowLastColumn="0" w:lastRowFirstColumn="0" w:lastRowLastColumn="0"/>
            </w:pPr>
            <w:r>
              <w:t>RR Delivered</w:t>
            </w:r>
          </w:p>
        </w:tc>
        <w:tc>
          <w:tcPr>
            <w:tcW w:w="870" w:type="dxa"/>
          </w:tcPr>
          <w:p w:rsidR="00360EFF" w:rsidRDefault="00360EFF" w:rsidP="00360EFF">
            <w:pPr>
              <w:jc w:val="center"/>
              <w:cnfStyle w:val="100000000000" w:firstRow="1" w:lastRow="0" w:firstColumn="0" w:lastColumn="0" w:oddVBand="0" w:evenVBand="0" w:oddHBand="0" w:evenHBand="0" w:firstRowFirstColumn="0" w:firstRowLastColumn="0" w:lastRowFirstColumn="0" w:lastRowLastColumn="0"/>
            </w:pPr>
            <w:r>
              <w:t>Union</w:t>
            </w:r>
          </w:p>
        </w:tc>
        <w:tc>
          <w:tcPr>
            <w:tcW w:w="1476" w:type="dxa"/>
          </w:tcPr>
          <w:p w:rsidR="00360EFF" w:rsidRDefault="00360EFF" w:rsidP="00FE63CC">
            <w:pPr>
              <w:jc w:val="center"/>
              <w:cnfStyle w:val="100000000000" w:firstRow="1" w:lastRow="0" w:firstColumn="0" w:lastColumn="0" w:oddVBand="0" w:evenVBand="0" w:oddHBand="0" w:evenHBand="0" w:firstRowFirstColumn="0" w:firstRowLastColumn="0" w:lastRowFirstColumn="0" w:lastRowLastColumn="0"/>
            </w:pPr>
            <w:r>
              <w:t>Trade Impact</w:t>
            </w:r>
          </w:p>
        </w:tc>
        <w:tc>
          <w:tcPr>
            <w:tcW w:w="1484" w:type="dxa"/>
          </w:tcPr>
          <w:p w:rsidR="00360EFF" w:rsidRDefault="00360EFF" w:rsidP="00FE63CC">
            <w:pPr>
              <w:jc w:val="center"/>
              <w:cnfStyle w:val="100000000000" w:firstRow="1" w:lastRow="0" w:firstColumn="0" w:lastColumn="0" w:oddVBand="0" w:evenVBand="0" w:oddHBand="0" w:evenHBand="0" w:firstRowFirstColumn="0" w:firstRowLastColumn="0" w:lastRowFirstColumn="0" w:lastRowLastColumn="0"/>
            </w:pPr>
            <w:r>
              <w:t># of Impacted Employees</w:t>
            </w:r>
          </w:p>
        </w:tc>
        <w:tc>
          <w:tcPr>
            <w:tcW w:w="1609" w:type="dxa"/>
          </w:tcPr>
          <w:p w:rsidR="00360EFF" w:rsidRDefault="00360EFF" w:rsidP="00FE63CC">
            <w:pPr>
              <w:jc w:val="center"/>
              <w:cnfStyle w:val="100000000000" w:firstRow="1" w:lastRow="0" w:firstColumn="0" w:lastColumn="0" w:oddVBand="0" w:evenVBand="0" w:oddHBand="0" w:evenHBand="0" w:firstRowFirstColumn="0" w:firstRowLastColumn="0" w:lastRowFirstColumn="0" w:lastRowLastColumn="0"/>
            </w:pPr>
            <w:r>
              <w:t># Requesting Services</w:t>
            </w:r>
          </w:p>
        </w:tc>
      </w:tr>
      <w:tr w:rsidR="00360EFF" w:rsidTr="00360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rsidR="00360EFF" w:rsidRDefault="00360EFF"/>
        </w:tc>
        <w:tc>
          <w:tcPr>
            <w:tcW w:w="2318"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078"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332"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198"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870"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476"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484"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609"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r>
      <w:tr w:rsidR="00360EFF" w:rsidTr="00360EFF">
        <w:tc>
          <w:tcPr>
            <w:cnfStyle w:val="001000000000" w:firstRow="0" w:lastRow="0" w:firstColumn="1" w:lastColumn="0" w:oddVBand="0" w:evenVBand="0" w:oddHBand="0" w:evenHBand="0" w:firstRowFirstColumn="0" w:firstRowLastColumn="0" w:lastRowFirstColumn="0" w:lastRowLastColumn="0"/>
            <w:tcW w:w="3025" w:type="dxa"/>
          </w:tcPr>
          <w:p w:rsidR="00360EFF" w:rsidRDefault="00360EFF"/>
        </w:tc>
        <w:tc>
          <w:tcPr>
            <w:tcW w:w="2318"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078"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332"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198"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870"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476"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484"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609"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r>
      <w:tr w:rsidR="00360EFF" w:rsidTr="00360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rsidR="00360EFF" w:rsidRDefault="00360EFF"/>
        </w:tc>
        <w:tc>
          <w:tcPr>
            <w:tcW w:w="2318"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078"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332"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198"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870"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476"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484"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609"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r>
      <w:tr w:rsidR="00360EFF" w:rsidTr="00360EFF">
        <w:tc>
          <w:tcPr>
            <w:cnfStyle w:val="001000000000" w:firstRow="0" w:lastRow="0" w:firstColumn="1" w:lastColumn="0" w:oddVBand="0" w:evenVBand="0" w:oddHBand="0" w:evenHBand="0" w:firstRowFirstColumn="0" w:firstRowLastColumn="0" w:lastRowFirstColumn="0" w:lastRowLastColumn="0"/>
            <w:tcW w:w="3025" w:type="dxa"/>
          </w:tcPr>
          <w:p w:rsidR="00360EFF" w:rsidRDefault="00360EFF"/>
        </w:tc>
        <w:tc>
          <w:tcPr>
            <w:tcW w:w="2318"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078"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332"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198"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870"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476"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484"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609"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r>
      <w:tr w:rsidR="00360EFF" w:rsidTr="00360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rsidR="00360EFF" w:rsidRDefault="00360EFF"/>
        </w:tc>
        <w:tc>
          <w:tcPr>
            <w:tcW w:w="2318"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078"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332"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198"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870"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476"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484"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609"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r>
      <w:tr w:rsidR="00360EFF" w:rsidTr="00360EFF">
        <w:tc>
          <w:tcPr>
            <w:cnfStyle w:val="001000000000" w:firstRow="0" w:lastRow="0" w:firstColumn="1" w:lastColumn="0" w:oddVBand="0" w:evenVBand="0" w:oddHBand="0" w:evenHBand="0" w:firstRowFirstColumn="0" w:firstRowLastColumn="0" w:lastRowFirstColumn="0" w:lastRowLastColumn="0"/>
            <w:tcW w:w="3025" w:type="dxa"/>
          </w:tcPr>
          <w:p w:rsidR="00360EFF" w:rsidRDefault="00360EFF"/>
        </w:tc>
        <w:tc>
          <w:tcPr>
            <w:tcW w:w="2318"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078"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332"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198"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870"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476"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484"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609"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r>
      <w:tr w:rsidR="00360EFF" w:rsidTr="00360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rsidR="00360EFF" w:rsidRDefault="00360EFF"/>
        </w:tc>
        <w:tc>
          <w:tcPr>
            <w:tcW w:w="2318"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078"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332"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198"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870"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476"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484"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c>
          <w:tcPr>
            <w:tcW w:w="1609" w:type="dxa"/>
          </w:tcPr>
          <w:p w:rsidR="00360EFF" w:rsidRDefault="00360EFF">
            <w:pPr>
              <w:cnfStyle w:val="000000100000" w:firstRow="0" w:lastRow="0" w:firstColumn="0" w:lastColumn="0" w:oddVBand="0" w:evenVBand="0" w:oddHBand="1" w:evenHBand="0" w:firstRowFirstColumn="0" w:firstRowLastColumn="0" w:lastRowFirstColumn="0" w:lastRowLastColumn="0"/>
            </w:pPr>
          </w:p>
        </w:tc>
      </w:tr>
      <w:tr w:rsidR="00360EFF" w:rsidTr="00360EFF">
        <w:tc>
          <w:tcPr>
            <w:cnfStyle w:val="001000000000" w:firstRow="0" w:lastRow="0" w:firstColumn="1" w:lastColumn="0" w:oddVBand="0" w:evenVBand="0" w:oddHBand="0" w:evenHBand="0" w:firstRowFirstColumn="0" w:firstRowLastColumn="0" w:lastRowFirstColumn="0" w:lastRowLastColumn="0"/>
            <w:tcW w:w="3025" w:type="dxa"/>
          </w:tcPr>
          <w:p w:rsidR="00360EFF" w:rsidRDefault="00360EFF"/>
        </w:tc>
        <w:tc>
          <w:tcPr>
            <w:tcW w:w="2318"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078"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332"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198"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870"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476"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484"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c>
          <w:tcPr>
            <w:tcW w:w="1609" w:type="dxa"/>
          </w:tcPr>
          <w:p w:rsidR="00360EFF" w:rsidRDefault="00360EFF">
            <w:pPr>
              <w:cnfStyle w:val="000000000000" w:firstRow="0" w:lastRow="0" w:firstColumn="0" w:lastColumn="0" w:oddVBand="0" w:evenVBand="0" w:oddHBand="0" w:evenHBand="0" w:firstRowFirstColumn="0" w:firstRowLastColumn="0" w:lastRowFirstColumn="0" w:lastRowLastColumn="0"/>
            </w:pPr>
          </w:p>
        </w:tc>
      </w:tr>
    </w:tbl>
    <w:p w:rsidR="003147C1" w:rsidRDefault="003147C1">
      <w:r>
        <w:t xml:space="preserve">Instructions: </w:t>
      </w:r>
    </w:p>
    <w:p w:rsidR="003147C1" w:rsidRDefault="00770933">
      <w:r>
        <w:t>I</w:t>
      </w:r>
      <w:r w:rsidR="00FE63CC">
        <w:t>ndicate the companies expected to be served under the request.  Employees of the companies on the list are the participants expected to be funded under this grant.  If any of the items are unknown,</w:t>
      </w:r>
      <w:r>
        <w:t xml:space="preserve"> indicate this</w:t>
      </w:r>
      <w:r w:rsidR="00FE63CC">
        <w:t xml:space="preserve"> with a “U” and if any areas are not applicable, indicate this with N/A.  Additional companies going through Rapid Response and layoffs may be added to this list and maybe submitted to the </w:t>
      </w:r>
      <w:r w:rsidR="00D53B5F">
        <w:t xml:space="preserve">State Rapid Response </w:t>
      </w:r>
      <w:r w:rsidR="00FE63CC" w:rsidRPr="00D53B5F">
        <w:t>Coordinator</w:t>
      </w:r>
      <w:r w:rsidR="00FE63CC">
        <w:t xml:space="preserve"> and should be indicated on the form with an asterisk (*).</w:t>
      </w:r>
    </w:p>
    <w:p w:rsidR="003147C1" w:rsidRDefault="005A365B">
      <w:r>
        <w:t>The number of workers requesting services should be indicated by surveys given to workers if Rapid Respon</w:t>
      </w:r>
      <w:r w:rsidR="0098117A">
        <w:t xml:space="preserve">se services have been delivered.  If it is the case that Rapid Response Services have not been initiated and survey data is not available, </w:t>
      </w:r>
      <w:r w:rsidR="00D53B5F">
        <w:t>provide a reasonable expected number of workers expected to request services.</w:t>
      </w:r>
    </w:p>
    <w:p w:rsidR="003147C1" w:rsidRDefault="003147C1">
      <w:r>
        <w:t>Definitions:</w:t>
      </w:r>
    </w:p>
    <w:p w:rsidR="003147C1" w:rsidRDefault="003147C1">
      <w:r>
        <w:t>Impact Date- Scheduled date of separation from employment, multiple dates may be applicable</w:t>
      </w:r>
    </w:p>
    <w:p w:rsidR="00360EFF" w:rsidRDefault="00360EFF" w:rsidP="00360EFF">
      <w:r>
        <w:t>RR Delivered- Rapid Response Services have been delivered? Yes or No</w:t>
      </w:r>
    </w:p>
    <w:p w:rsidR="00360EFF" w:rsidRDefault="00360EFF">
      <w:r>
        <w:t>Union: A union represents the workers present on the site: Yes or No</w:t>
      </w:r>
    </w:p>
    <w:p w:rsidR="00360EFF" w:rsidRDefault="00360EFF">
      <w:r>
        <w:t>Trade Impact: Assessment based on current knowledge: No</w:t>
      </w:r>
      <w:r w:rsidR="008165AB">
        <w:t>ne</w:t>
      </w:r>
      <w:r>
        <w:t xml:space="preserve">, Petition Filed, </w:t>
      </w:r>
      <w:r w:rsidR="00D53B5F">
        <w:t xml:space="preserve">Petition Denied, </w:t>
      </w:r>
      <w:r>
        <w:t>Petition Certified</w:t>
      </w:r>
    </w:p>
    <w:p w:rsidR="00360EFF" w:rsidRDefault="003147C1">
      <w:r>
        <w:t># of Impacted Employees- Total number of employees expected to be separated during the layoff/closure event</w:t>
      </w:r>
    </w:p>
    <w:p w:rsidR="003147C1" w:rsidRDefault="003147C1">
      <w:r>
        <w:t># Requesting Services- The total number of employees who have indicated</w:t>
      </w:r>
      <w:r w:rsidR="008165AB">
        <w:t>,</w:t>
      </w:r>
      <w:r>
        <w:t xml:space="preserve"> via the Rapid Response survey</w:t>
      </w:r>
      <w:r w:rsidR="008165AB">
        <w:t>,</w:t>
      </w:r>
      <w:r>
        <w:t xml:space="preserve"> they would be interested in pursuing WIOA related services during the proposed service period of the grant</w:t>
      </w:r>
    </w:p>
    <w:sectPr w:rsidR="003147C1" w:rsidSect="00360EF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7C1"/>
    <w:rsid w:val="002B378A"/>
    <w:rsid w:val="003147C1"/>
    <w:rsid w:val="0031594F"/>
    <w:rsid w:val="00360EFF"/>
    <w:rsid w:val="005062AD"/>
    <w:rsid w:val="00554730"/>
    <w:rsid w:val="00570B6E"/>
    <w:rsid w:val="005A365B"/>
    <w:rsid w:val="00770933"/>
    <w:rsid w:val="008165AB"/>
    <w:rsid w:val="00827663"/>
    <w:rsid w:val="00881C90"/>
    <w:rsid w:val="00945B72"/>
    <w:rsid w:val="0098117A"/>
    <w:rsid w:val="00D53B5F"/>
    <w:rsid w:val="00D82453"/>
    <w:rsid w:val="00FE6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F2345-90F2-423D-8646-8A6265E8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E63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tenseQuote">
    <w:name w:val="Intense Quote"/>
    <w:basedOn w:val="Normal"/>
    <w:next w:val="Normal"/>
    <w:link w:val="IntenseQuoteChar"/>
    <w:uiPriority w:val="30"/>
    <w:qFormat/>
    <w:rsid w:val="00360EF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60EFF"/>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735A1-8A70-47CA-9DC8-DB2DF683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Tavel</dc:creator>
  <cp:keywords/>
  <dc:description/>
  <cp:lastModifiedBy>Maria Onsel</cp:lastModifiedBy>
  <cp:revision>2</cp:revision>
  <dcterms:created xsi:type="dcterms:W3CDTF">2018-05-25T17:43:00Z</dcterms:created>
  <dcterms:modified xsi:type="dcterms:W3CDTF">2018-05-25T17:43:00Z</dcterms:modified>
</cp:coreProperties>
</file>